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D7DEB" w14:textId="1886623E" w:rsidR="00C525FD" w:rsidRDefault="004A2B30" w:rsidP="00C525FD">
      <w:bookmarkStart w:id="0" w:name="_Hlk529286189"/>
      <w:bookmarkEnd w:id="0"/>
      <w:r>
        <w:rPr>
          <w:noProof/>
          <w:lang w:val="de-DE" w:eastAsia="de-DE"/>
        </w:rPr>
        <w:drawing>
          <wp:inline distT="0" distB="0" distL="0" distR="0" wp14:anchorId="0B154FDC" wp14:editId="65556812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67A2" w14:textId="77777777" w:rsidR="00C525FD" w:rsidRDefault="00C525FD" w:rsidP="006E7873">
      <w:pPr>
        <w:jc w:val="both"/>
      </w:pPr>
      <w:r w:rsidRPr="000368D4">
        <w:rPr>
          <w:b/>
        </w:rPr>
        <w:t>Fig</w:t>
      </w:r>
      <w:r>
        <w:rPr>
          <w:b/>
        </w:rPr>
        <w:t>ure</w:t>
      </w:r>
      <w:r w:rsidRPr="000368D4">
        <w:rPr>
          <w:b/>
        </w:rPr>
        <w:t xml:space="preserve"> </w:t>
      </w:r>
      <w:r>
        <w:rPr>
          <w:b/>
        </w:rPr>
        <w:t>S1:</w:t>
      </w:r>
      <w:r w:rsidRPr="000368D4">
        <w:t xml:space="preserve"> </w:t>
      </w:r>
      <w:r>
        <w:t>Principal Component Analysis of RPKM (</w:t>
      </w:r>
      <w:r w:rsidRPr="000368D4">
        <w:rPr>
          <w:color w:val="00000A"/>
        </w:rPr>
        <w:t>Reads Per Kilobase per Million reads)</w:t>
      </w:r>
      <w:r>
        <w:t xml:space="preserve"> from the 6,745 genes common to the transcriptome and genome. Samples M</w:t>
      </w:r>
      <w:r w:rsidRPr="00246DAD">
        <w:rPr>
          <w:vertAlign w:val="superscript"/>
        </w:rPr>
        <w:t>+</w:t>
      </w:r>
      <w:r>
        <w:t xml:space="preserve"> (circle) and NM (triangles), in black, show the results for the dehiscent and indehiscent seed in the transcriptome. Samples M</w:t>
      </w:r>
      <w:r w:rsidRPr="00246DAD">
        <w:rPr>
          <w:vertAlign w:val="superscript"/>
        </w:rPr>
        <w:t>+</w:t>
      </w:r>
      <w:r>
        <w:t xml:space="preserve"> (circle) and NM (triangles), in white, show the corresponding results in the genome.</w:t>
      </w:r>
      <w:r w:rsidR="00DB6A32">
        <w:t xml:space="preserve"> Variation explained by each principal component is indicated on the axes. </w:t>
      </w:r>
    </w:p>
    <w:p w14:paraId="5CF85B5C" w14:textId="58CC8C97" w:rsidR="00BD1095" w:rsidRDefault="00A55846"/>
    <w:p w14:paraId="3A3A6C6D" w14:textId="6E5E56D4" w:rsidR="00FB30E5" w:rsidRDefault="00FB30E5"/>
    <w:p w14:paraId="3435FCED" w14:textId="1634D7F5" w:rsidR="00FB30E5" w:rsidRDefault="00FB30E5"/>
    <w:p w14:paraId="044D8CE7" w14:textId="2E23248E" w:rsidR="00FB30E5" w:rsidRDefault="00FB30E5"/>
    <w:p w14:paraId="153E1CA0" w14:textId="0ADCF314" w:rsidR="00FB30E5" w:rsidRDefault="00FB30E5"/>
    <w:p w14:paraId="59660EA5" w14:textId="3B4CBB9D" w:rsidR="00FB30E5" w:rsidRDefault="00FB30E5"/>
    <w:p w14:paraId="09C6508D" w14:textId="180CF4E3" w:rsidR="00FB30E5" w:rsidRDefault="00FB30E5"/>
    <w:p w14:paraId="441B5CC4" w14:textId="68C29CCC" w:rsidR="00FB30E5" w:rsidRDefault="00FB30E5"/>
    <w:p w14:paraId="0D0636E6" w14:textId="4274C18A" w:rsidR="00FB30E5" w:rsidRDefault="00FB30E5"/>
    <w:p w14:paraId="14319684" w14:textId="4D67EF17" w:rsidR="00FB30E5" w:rsidRDefault="00FB30E5"/>
    <w:p w14:paraId="274C147B" w14:textId="2CBA8555" w:rsidR="00FB30E5" w:rsidRDefault="00FB30E5"/>
    <w:p w14:paraId="0A99CEC5" w14:textId="499E1A95" w:rsidR="00FB30E5" w:rsidRDefault="00FB30E5"/>
    <w:p w14:paraId="516E96C0" w14:textId="79FDB372" w:rsidR="00FB30E5" w:rsidRDefault="00FB30E5"/>
    <w:p w14:paraId="42CA48B4" w14:textId="11549485" w:rsidR="00A92E02" w:rsidRDefault="00A92E02">
      <w:r>
        <w:rPr>
          <w:noProof/>
          <w:lang w:val="de-DE" w:eastAsia="de-DE"/>
        </w:rPr>
        <w:lastRenderedPageBreak/>
        <w:drawing>
          <wp:inline distT="0" distB="0" distL="0" distR="0" wp14:anchorId="74D2736D" wp14:editId="48A316E1">
            <wp:extent cx="54864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AC93" w14:textId="0800DB0D" w:rsidR="00A92E02" w:rsidRDefault="00A92E02">
      <w:r w:rsidRPr="000368D4">
        <w:rPr>
          <w:b/>
        </w:rPr>
        <w:t>Fig</w:t>
      </w:r>
      <w:r>
        <w:rPr>
          <w:b/>
        </w:rPr>
        <w:t>ure</w:t>
      </w:r>
      <w:r w:rsidRPr="000368D4">
        <w:rPr>
          <w:b/>
        </w:rPr>
        <w:t xml:space="preserve"> </w:t>
      </w:r>
      <w:r>
        <w:rPr>
          <w:b/>
        </w:rPr>
        <w:t>S</w:t>
      </w:r>
      <w:r w:rsidR="008B3B9E">
        <w:rPr>
          <w:b/>
        </w:rPr>
        <w:t>2</w:t>
      </w:r>
      <w:r>
        <w:rPr>
          <w:b/>
        </w:rPr>
        <w:t>:</w:t>
      </w:r>
      <w:r w:rsidRPr="000368D4">
        <w:t xml:space="preserve"> </w:t>
      </w:r>
      <w:r w:rsidR="00C97173">
        <w:t>Density plot showing the RPKM</w:t>
      </w:r>
      <w:r w:rsidR="00544E82">
        <w:t xml:space="preserve"> values</w:t>
      </w:r>
      <w:r w:rsidR="00C97173">
        <w:t xml:space="preserve"> for the DEGs in the overlap between the three DEG calling packages (red), the DEGs called by </w:t>
      </w:r>
      <w:proofErr w:type="spellStart"/>
      <w:r w:rsidR="00C97173">
        <w:t>NOISeq</w:t>
      </w:r>
      <w:proofErr w:type="spellEnd"/>
      <w:r w:rsidR="00C97173">
        <w:t xml:space="preserve"> that are not in the overlap (blue), the DEGs called by </w:t>
      </w:r>
      <w:proofErr w:type="spellStart"/>
      <w:r w:rsidR="00C97173">
        <w:t>edgeR</w:t>
      </w:r>
      <w:proofErr w:type="spellEnd"/>
      <w:r w:rsidR="00C97173">
        <w:t xml:space="preserve"> that are not in the overlap (green), the DEGs called by DESeq2 that are not in the overlap (orange).</w:t>
      </w:r>
    </w:p>
    <w:p w14:paraId="67AE081B" w14:textId="1D2187B2" w:rsidR="00FB30E5" w:rsidRDefault="00A55846" w:rsidP="0045649A">
      <w:pPr>
        <w:rPr>
          <w:b/>
        </w:rPr>
      </w:pPr>
      <w:r>
        <w:rPr>
          <w:b/>
          <w:noProof/>
          <w:lang w:val="en-US"/>
        </w:rPr>
        <w:lastRenderedPageBreak/>
      </w:r>
      <w:r w:rsidR="00A55846">
        <w:rPr>
          <w:b/>
          <w:noProof/>
          <w:lang w:val="en-US"/>
        </w:rPr>
        <w:pict w14:anchorId="7E3388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3.5pt;height:575.2pt;mso-width-percent:0;mso-height-percent:0;mso-width-percent:0;mso-height-percent:0">
            <v:imagedata r:id="rId6" o:title="S3"/>
          </v:shape>
        </w:pict>
      </w:r>
    </w:p>
    <w:p w14:paraId="1A79D478" w14:textId="77777777" w:rsidR="00FB30E5" w:rsidRDefault="00FB30E5" w:rsidP="0045649A">
      <w:pPr>
        <w:rPr>
          <w:b/>
        </w:rPr>
      </w:pPr>
    </w:p>
    <w:p w14:paraId="4ED8BF35" w14:textId="4E37328C" w:rsidR="00FB30E5" w:rsidRDefault="00FB30E5" w:rsidP="00AA4116">
      <w:pPr>
        <w:jc w:val="both"/>
      </w:pPr>
      <w:r w:rsidRPr="000368D4">
        <w:rPr>
          <w:b/>
        </w:rPr>
        <w:t>Fig</w:t>
      </w:r>
      <w:r>
        <w:rPr>
          <w:b/>
        </w:rPr>
        <w:t>ure</w:t>
      </w:r>
      <w:r w:rsidRPr="000368D4">
        <w:rPr>
          <w:b/>
        </w:rPr>
        <w:t xml:space="preserve"> </w:t>
      </w:r>
      <w:r>
        <w:rPr>
          <w:b/>
        </w:rPr>
        <w:t>S</w:t>
      </w:r>
      <w:r w:rsidR="00276C43">
        <w:rPr>
          <w:b/>
        </w:rPr>
        <w:t>3</w:t>
      </w:r>
      <w:r>
        <w:rPr>
          <w:b/>
        </w:rPr>
        <w:t>:</w:t>
      </w:r>
      <w:r w:rsidRPr="000368D4">
        <w:t xml:space="preserve"> </w:t>
      </w:r>
      <w:proofErr w:type="spellStart"/>
      <w:r w:rsidRPr="00E437DE">
        <w:rPr>
          <w:b/>
        </w:rPr>
        <w:t>qRT</w:t>
      </w:r>
      <w:proofErr w:type="spellEnd"/>
      <w:r w:rsidRPr="00E437DE">
        <w:rPr>
          <w:b/>
        </w:rPr>
        <w:t>-PCR Expression.</w:t>
      </w:r>
      <w:r>
        <w:rPr>
          <w:b/>
        </w:rPr>
        <w:t xml:space="preserve"> </w:t>
      </w:r>
      <w:proofErr w:type="spellStart"/>
      <w:r>
        <w:t>qRT</w:t>
      </w:r>
      <w:proofErr w:type="spellEnd"/>
      <w:r>
        <w:t>-PCR was used to measure the expression of ten candidate genes, identified as DEGs by RNA-</w:t>
      </w:r>
      <w:proofErr w:type="spellStart"/>
      <w:r>
        <w:t>seq</w:t>
      </w:r>
      <w:proofErr w:type="spellEnd"/>
      <w:r>
        <w:t>, in a separate batch of seeds to the RNA-</w:t>
      </w:r>
      <w:proofErr w:type="spellStart"/>
      <w:r>
        <w:t>seq</w:t>
      </w:r>
      <w:proofErr w:type="spellEnd"/>
      <w:r>
        <w:t xml:space="preserve"> experiment (n = 5 per morphotype). </w:t>
      </w:r>
      <w:proofErr w:type="spellStart"/>
      <w:r>
        <w:t>Aethionema</w:t>
      </w:r>
      <w:proofErr w:type="spellEnd"/>
      <w:r>
        <w:t xml:space="preserve"> gene IDs are indicated. Error bars indicate </w:t>
      </w:r>
      <w:r>
        <w:rPr>
          <w:rFonts w:cs="Arial"/>
        </w:rPr>
        <w:t>±</w:t>
      </w:r>
      <w:r>
        <w:t xml:space="preserve"> 1 SEM. </w:t>
      </w:r>
    </w:p>
    <w:p w14:paraId="31F69FD2" w14:textId="539BF533" w:rsidR="00FB30E5" w:rsidRDefault="00A55846">
      <w:pPr>
        <w:rPr>
          <w:b/>
          <w:noProof/>
        </w:rPr>
      </w:pPr>
      <w:r>
        <w:rPr>
          <w:b/>
          <w:noProof/>
        </w:rPr>
        <w:lastRenderedPageBreak/>
      </w:r>
      <w:r w:rsidR="00A55846">
        <w:rPr>
          <w:b/>
          <w:noProof/>
        </w:rPr>
        <w:pict w14:anchorId="30F21EFF">
          <v:shape id="_x0000_i1026" type="#_x0000_t75" alt="" style="width:358.4pt;height:640.7pt;mso-width-percent:0;mso-height-percent:0;mso-width-percent:0;mso-height-percent:0">
            <v:imagedata r:id="rId7" o:title="S4a"/>
          </v:shape>
        </w:pict>
      </w:r>
    </w:p>
    <w:p w14:paraId="5D5E065E" w14:textId="5C486488" w:rsidR="00FB30E5" w:rsidRDefault="00A55846" w:rsidP="009F24F9">
      <w:pPr>
        <w:rPr>
          <w:b/>
          <w:noProof/>
        </w:rPr>
      </w:pPr>
      <w:r>
        <w:rPr>
          <w:b/>
          <w:noProof/>
        </w:rPr>
        <w:lastRenderedPageBreak/>
      </w:r>
      <w:r w:rsidR="00A55846">
        <w:rPr>
          <w:b/>
          <w:noProof/>
        </w:rPr>
        <w:pict w14:anchorId="2E655107">
          <v:shape id="_x0000_i1027" type="#_x0000_t75" alt="" style="width:432.8pt;height:585.7pt;mso-width-percent:0;mso-height-percent:0;mso-width-percent:0;mso-height-percent:0">
            <v:imagedata r:id="rId8" o:title="S4b"/>
          </v:shape>
        </w:pict>
      </w:r>
    </w:p>
    <w:p w14:paraId="7B271E22" w14:textId="1C4A88C6" w:rsidR="00FB30E5" w:rsidRDefault="00FB30E5">
      <w:pPr>
        <w:rPr>
          <w:noProof/>
        </w:rPr>
      </w:pPr>
      <w:r>
        <w:rPr>
          <w:b/>
          <w:noProof/>
        </w:rPr>
        <w:t>Figure S</w:t>
      </w:r>
      <w:r w:rsidR="00276C43">
        <w:rPr>
          <w:b/>
          <w:noProof/>
        </w:rPr>
        <w:t>4</w:t>
      </w:r>
      <w:r>
        <w:rPr>
          <w:b/>
          <w:noProof/>
        </w:rPr>
        <w:t xml:space="preserve">: Abundances of ribonucleoprotein transcripts (a) and transcripts from selected gene categories (b) from </w:t>
      </w:r>
      <w:r w:rsidRPr="00F11691">
        <w:rPr>
          <w:b/>
          <w:i/>
          <w:noProof/>
        </w:rPr>
        <w:t>Ae. arabicum</w:t>
      </w:r>
      <w:r>
        <w:rPr>
          <w:b/>
          <w:noProof/>
        </w:rPr>
        <w:t xml:space="preserve"> dimorphic seed DEG lists.</w:t>
      </w:r>
      <w:r>
        <w:rPr>
          <w:noProof/>
        </w:rPr>
        <w:t xml:space="preserve"> Gene names, Arabidopsis gene ID (ATx) and </w:t>
      </w:r>
      <w:r w:rsidRPr="00F11691">
        <w:rPr>
          <w:i/>
          <w:noProof/>
        </w:rPr>
        <w:t>Ae. arabicum</w:t>
      </w:r>
      <w:r>
        <w:rPr>
          <w:noProof/>
        </w:rPr>
        <w:t xml:space="preserve"> gene ID (AAx) indicated. M</w:t>
      </w:r>
      <w:r w:rsidRPr="00F11691">
        <w:rPr>
          <w:noProof/>
          <w:vertAlign w:val="superscript"/>
        </w:rPr>
        <w:t>+</w:t>
      </w:r>
      <w:r>
        <w:rPr>
          <w:noProof/>
        </w:rPr>
        <w:t xml:space="preserve"> seeds (from DEH fruits) are co</w:t>
      </w:r>
      <w:r w:rsidR="00E609CC">
        <w:rPr>
          <w:noProof/>
        </w:rPr>
        <w:t>mpared to NM</w:t>
      </w:r>
      <w:r>
        <w:rPr>
          <w:noProof/>
        </w:rPr>
        <w:t xml:space="preserve"> seeds (from IND fruits).</w:t>
      </w:r>
    </w:p>
    <w:p w14:paraId="26BC0453" w14:textId="77777777" w:rsidR="00FB30E5" w:rsidRDefault="00FB30E5" w:rsidP="00627248">
      <w:r w:rsidRPr="00C6014F">
        <w:rPr>
          <w:noProof/>
          <w:lang w:val="de-DE" w:eastAsia="de-DE"/>
        </w:rPr>
        <w:lastRenderedPageBreak/>
        <w:drawing>
          <wp:inline distT="0" distB="0" distL="0" distR="0" wp14:anchorId="78C4709D" wp14:editId="232142A1">
            <wp:extent cx="4433011" cy="513129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33" cy="51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B54D" w14:textId="7BE18611" w:rsidR="00FB30E5" w:rsidRDefault="00FB30E5" w:rsidP="001913DD">
      <w:pPr>
        <w:spacing w:line="360" w:lineRule="auto"/>
        <w:jc w:val="both"/>
        <w:rPr>
          <w:rFonts w:eastAsia="Times New Roman"/>
          <w:bCs/>
        </w:rPr>
      </w:pPr>
      <w:r>
        <w:rPr>
          <w:b/>
        </w:rPr>
        <w:t>Figure S</w:t>
      </w:r>
      <w:r w:rsidR="00276C43">
        <w:rPr>
          <w:b/>
        </w:rPr>
        <w:t>5</w:t>
      </w:r>
      <w:r>
        <w:rPr>
          <w:b/>
        </w:rPr>
        <w:t xml:space="preserve">: </w:t>
      </w:r>
      <w:r>
        <w:rPr>
          <w:rFonts w:eastAsia="Times New Roman"/>
          <w:b/>
          <w:bCs/>
        </w:rPr>
        <w:t xml:space="preserve">Expression of hormone-related genes </w:t>
      </w:r>
      <w:r w:rsidRPr="00FD647C">
        <w:rPr>
          <w:rFonts w:eastAsia="Times New Roman"/>
          <w:b/>
          <w:bCs/>
        </w:rPr>
        <w:t xml:space="preserve">from published transcriptomes of developing and mature </w:t>
      </w:r>
      <w:r w:rsidRPr="00FD647C">
        <w:rPr>
          <w:rFonts w:eastAsia="Times New Roman"/>
          <w:b/>
          <w:bCs/>
          <w:i/>
        </w:rPr>
        <w:t>A. thaliana</w:t>
      </w:r>
      <w:r w:rsidRPr="00FD647C">
        <w:rPr>
          <w:rFonts w:eastAsia="Times New Roman"/>
          <w:b/>
          <w:bCs/>
        </w:rPr>
        <w:t xml:space="preserve"> seeds</w:t>
      </w:r>
      <w:r>
        <w:rPr>
          <w:rFonts w:eastAsia="Times New Roman"/>
          <w:b/>
          <w:bCs/>
        </w:rPr>
        <w:t xml:space="preserve"> [2</w:t>
      </w:r>
      <w:r w:rsidR="00131DB9">
        <w:rPr>
          <w:rFonts w:eastAsia="Times New Roman"/>
          <w:b/>
          <w:bCs/>
        </w:rPr>
        <w:t>9</w:t>
      </w:r>
      <w:r w:rsidR="000877E4">
        <w:rPr>
          <w:rFonts w:eastAsia="Times New Roman"/>
          <w:b/>
          <w:bCs/>
        </w:rPr>
        <w:t>-3</w:t>
      </w:r>
      <w:r w:rsidR="00131DB9">
        <w:rPr>
          <w:rFonts w:eastAsia="Times New Roman"/>
          <w:b/>
          <w:bCs/>
        </w:rPr>
        <w:t>1</w:t>
      </w:r>
      <w:r>
        <w:rPr>
          <w:rFonts w:eastAsia="Times New Roman"/>
          <w:b/>
          <w:bCs/>
        </w:rPr>
        <w:t>, 7</w:t>
      </w:r>
      <w:r w:rsidR="00131DB9">
        <w:rPr>
          <w:rFonts w:eastAsia="Times New Roman"/>
          <w:b/>
          <w:bCs/>
        </w:rPr>
        <w:t>4</w:t>
      </w:r>
      <w:r>
        <w:rPr>
          <w:rFonts w:eastAsia="Times New Roman"/>
          <w:b/>
          <w:bCs/>
        </w:rPr>
        <w:t xml:space="preserve">], whose orthologues were identified as </w:t>
      </w:r>
      <w:r w:rsidRPr="00F11691">
        <w:rPr>
          <w:rFonts w:eastAsia="Times New Roman"/>
          <w:b/>
          <w:bCs/>
          <w:i/>
        </w:rPr>
        <w:t xml:space="preserve">Ae. </w:t>
      </w:r>
      <w:proofErr w:type="spellStart"/>
      <w:r w:rsidRPr="00F11691">
        <w:rPr>
          <w:rFonts w:eastAsia="Times New Roman"/>
          <w:b/>
          <w:bCs/>
          <w:i/>
        </w:rPr>
        <w:t>arabicum</w:t>
      </w:r>
      <w:proofErr w:type="spellEnd"/>
      <w:r>
        <w:rPr>
          <w:rFonts w:eastAsia="Times New Roman"/>
          <w:b/>
          <w:bCs/>
        </w:rPr>
        <w:t xml:space="preserve"> dimorphic seed DEGs in this study. </w:t>
      </w:r>
      <w:r>
        <w:rPr>
          <w:rFonts w:eastAsia="Times New Roman"/>
          <w:bCs/>
        </w:rPr>
        <w:t xml:space="preserve">Expression of </w:t>
      </w:r>
      <w:proofErr w:type="spellStart"/>
      <w:r>
        <w:rPr>
          <w:rFonts w:eastAsia="Times New Roman"/>
          <w:bCs/>
          <w:i/>
        </w:rPr>
        <w:t>AtXERICO</w:t>
      </w:r>
      <w:proofErr w:type="spellEnd"/>
      <w:r>
        <w:rPr>
          <w:rFonts w:eastAsia="Times New Roman"/>
          <w:bCs/>
          <w:i/>
        </w:rPr>
        <w:t xml:space="preserve"> </w:t>
      </w:r>
      <w:r>
        <w:rPr>
          <w:rFonts w:eastAsia="Times New Roman"/>
          <w:bCs/>
        </w:rPr>
        <w:t xml:space="preserve">(ABA – GA crosstalk), </w:t>
      </w:r>
      <w:r>
        <w:rPr>
          <w:rFonts w:eastAsia="Times New Roman"/>
          <w:bCs/>
          <w:i/>
        </w:rPr>
        <w:t xml:space="preserve">AtEBF1 </w:t>
      </w:r>
      <w:r>
        <w:rPr>
          <w:rFonts w:eastAsia="Times New Roman"/>
          <w:bCs/>
        </w:rPr>
        <w:t xml:space="preserve">(Ethylene </w:t>
      </w:r>
      <w:proofErr w:type="spellStart"/>
      <w:r>
        <w:rPr>
          <w:rFonts w:eastAsia="Times New Roman"/>
          <w:bCs/>
        </w:rPr>
        <w:t>signaling</w:t>
      </w:r>
      <w:proofErr w:type="spellEnd"/>
      <w:r>
        <w:rPr>
          <w:rFonts w:eastAsia="Times New Roman"/>
          <w:bCs/>
        </w:rPr>
        <w:t xml:space="preserve">), </w:t>
      </w:r>
      <w:r>
        <w:rPr>
          <w:rFonts w:eastAsia="Times New Roman"/>
          <w:bCs/>
          <w:i/>
        </w:rPr>
        <w:t>AtSAMS3</w:t>
      </w:r>
      <w:r>
        <w:rPr>
          <w:rFonts w:eastAsia="Times New Roman"/>
          <w:bCs/>
        </w:rPr>
        <w:t xml:space="preserve"> (related to ethylene biosynthesis) and </w:t>
      </w:r>
      <w:r>
        <w:rPr>
          <w:rFonts w:eastAsia="Times New Roman"/>
          <w:bCs/>
          <w:i/>
        </w:rPr>
        <w:t xml:space="preserve">AtARF2 </w:t>
      </w:r>
      <w:r>
        <w:rPr>
          <w:rFonts w:eastAsia="Times New Roman"/>
          <w:bCs/>
        </w:rPr>
        <w:t xml:space="preserve">(auxin </w:t>
      </w:r>
      <w:proofErr w:type="spellStart"/>
      <w:r>
        <w:rPr>
          <w:rFonts w:eastAsia="Times New Roman"/>
          <w:bCs/>
        </w:rPr>
        <w:t>signaling</w:t>
      </w:r>
      <w:proofErr w:type="spellEnd"/>
      <w:r>
        <w:rPr>
          <w:rFonts w:eastAsia="Times New Roman"/>
          <w:bCs/>
        </w:rPr>
        <w:t xml:space="preserve">/ ethylene crosstalk) changes during Arabidopsis seed maturation. </w:t>
      </w:r>
    </w:p>
    <w:p w14:paraId="677E19F2" w14:textId="7263B369" w:rsidR="00FB30E5" w:rsidRDefault="00FB30E5" w:rsidP="001913DD">
      <w:pPr>
        <w:spacing w:line="360" w:lineRule="auto"/>
        <w:jc w:val="both"/>
        <w:rPr>
          <w:rFonts w:eastAsia="Times New Roman"/>
          <w:bCs/>
        </w:rPr>
      </w:pPr>
      <w:r w:rsidRPr="00BE3354">
        <w:rPr>
          <w:rFonts w:eastAsia="Times New Roman"/>
          <w:bCs/>
          <w:i/>
        </w:rPr>
        <w:t>XERICO</w:t>
      </w:r>
      <w:r>
        <w:rPr>
          <w:rFonts w:eastAsia="Times New Roman"/>
          <w:bCs/>
        </w:rPr>
        <w:t>, which is known to mediate between ABA and GA [A1] is up-</w:t>
      </w:r>
      <w:proofErr w:type="spellStart"/>
      <w:r>
        <w:rPr>
          <w:rFonts w:eastAsia="Times New Roman"/>
          <w:bCs/>
        </w:rPr>
        <w:t>reguated</w:t>
      </w:r>
      <w:proofErr w:type="spellEnd"/>
      <w:r>
        <w:rPr>
          <w:rFonts w:eastAsia="Times New Roman"/>
          <w:bCs/>
        </w:rPr>
        <w:t xml:space="preserve"> during </w:t>
      </w:r>
      <w:r w:rsidRPr="008B5C0F">
        <w:rPr>
          <w:rFonts w:eastAsia="Times New Roman"/>
          <w:bCs/>
          <w:i/>
        </w:rPr>
        <w:t>A. thaliana</w:t>
      </w:r>
      <w:r>
        <w:rPr>
          <w:rFonts w:eastAsia="Times New Roman"/>
          <w:bCs/>
        </w:rPr>
        <w:t xml:space="preserve"> seed </w:t>
      </w:r>
      <w:proofErr w:type="gramStart"/>
      <w:r>
        <w:rPr>
          <w:rFonts w:eastAsia="Times New Roman"/>
          <w:bCs/>
        </w:rPr>
        <w:t>maturation, and</w:t>
      </w:r>
      <w:proofErr w:type="gramEnd"/>
      <w:r>
        <w:rPr>
          <w:rFonts w:eastAsia="Times New Roman"/>
          <w:bCs/>
        </w:rPr>
        <w:t xml:space="preserve"> is among the NM-low DEGs. While </w:t>
      </w:r>
      <w:r w:rsidRPr="00BE3354">
        <w:rPr>
          <w:rFonts w:eastAsia="Times New Roman"/>
          <w:bCs/>
          <w:i/>
        </w:rPr>
        <w:t>S</w:t>
      </w:r>
      <w:r>
        <w:rPr>
          <w:rFonts w:eastAsia="Times New Roman"/>
          <w:bCs/>
        </w:rPr>
        <w:t xml:space="preserve">-adenosylmethionine (SAM) synthetase (SAMS3) which generates precursors for ethylene biosynthesis is down-regulated, the ethylene response EIN3-binding F-box protein (EBF1) is up-regulated during </w:t>
      </w:r>
      <w:r w:rsidRPr="008B5C0F">
        <w:rPr>
          <w:rFonts w:eastAsia="Times New Roman"/>
          <w:bCs/>
          <w:i/>
        </w:rPr>
        <w:t>A. thaliana</w:t>
      </w:r>
      <w:r>
        <w:rPr>
          <w:rFonts w:eastAsia="Times New Roman"/>
          <w:bCs/>
        </w:rPr>
        <w:t xml:space="preserve"> seed maturation (</w:t>
      </w:r>
      <w:r>
        <w:t>Figure S4, Additional file 6)</w:t>
      </w:r>
      <w:r>
        <w:rPr>
          <w:rFonts w:eastAsia="Times New Roman"/>
          <w:bCs/>
        </w:rPr>
        <w:t xml:space="preserve">. This pattern is in agreement with dormancy induction in association with down-regulation of ethylene precursor production and down-regulation of ethylene signalling by EBF1 [A2]. Interestingly, transcripts of the putative </w:t>
      </w:r>
      <w:r w:rsidRPr="00BE3354">
        <w:rPr>
          <w:rFonts w:eastAsia="Times New Roman"/>
          <w:bCs/>
          <w:i/>
        </w:rPr>
        <w:t xml:space="preserve">Ae. </w:t>
      </w:r>
      <w:proofErr w:type="spellStart"/>
      <w:r w:rsidRPr="00BE3354">
        <w:rPr>
          <w:rFonts w:eastAsia="Times New Roman"/>
          <w:bCs/>
          <w:i/>
        </w:rPr>
        <w:t>arabicum</w:t>
      </w:r>
      <w:proofErr w:type="spellEnd"/>
      <w:r>
        <w:rPr>
          <w:rFonts w:eastAsia="Times New Roman"/>
          <w:bCs/>
        </w:rPr>
        <w:t xml:space="preserve"> orthologs are among the NM-low DEGs for SAMS3, and among the NM-high DEGs for EBF1. This is in agreement with the finding that </w:t>
      </w:r>
      <w:r w:rsidRPr="008B5C0F">
        <w:rPr>
          <w:rFonts w:eastAsia="Times New Roman"/>
          <w:bCs/>
          <w:i/>
        </w:rPr>
        <w:t xml:space="preserve">Ae. </w:t>
      </w:r>
      <w:proofErr w:type="spellStart"/>
      <w:r w:rsidRPr="008B5C0F">
        <w:rPr>
          <w:rFonts w:eastAsia="Times New Roman"/>
          <w:bCs/>
          <w:i/>
        </w:rPr>
        <w:t>arabicum</w:t>
      </w:r>
      <w:proofErr w:type="spellEnd"/>
      <w:r w:rsidR="00E609CC">
        <w:rPr>
          <w:rFonts w:eastAsia="Times New Roman"/>
          <w:bCs/>
        </w:rPr>
        <w:t xml:space="preserve"> NM</w:t>
      </w:r>
      <w:r>
        <w:rPr>
          <w:rFonts w:eastAsia="Times New Roman"/>
          <w:bCs/>
        </w:rPr>
        <w:t xml:space="preserve"> seeds are deeper dormant compared to M</w:t>
      </w:r>
      <w:r w:rsidRPr="00BE3354">
        <w:rPr>
          <w:rFonts w:eastAsia="Times New Roman"/>
          <w:bCs/>
          <w:vertAlign w:val="superscript"/>
        </w:rPr>
        <w:t>+</w:t>
      </w:r>
      <w:r>
        <w:rPr>
          <w:rFonts w:eastAsia="Times New Roman"/>
          <w:bCs/>
        </w:rPr>
        <w:t xml:space="preserve"> seed [3]. Differences in ethylene-related gene expression in relation to the depth of </w:t>
      </w:r>
      <w:r>
        <w:rPr>
          <w:rFonts w:eastAsia="Times New Roman"/>
          <w:bCs/>
        </w:rPr>
        <w:lastRenderedPageBreak/>
        <w:t xml:space="preserve">dormancy are also evident among heterogenic seeds of </w:t>
      </w:r>
      <w:r w:rsidRPr="00BE3354">
        <w:rPr>
          <w:rFonts w:eastAsia="Times New Roman"/>
          <w:bCs/>
          <w:i/>
        </w:rPr>
        <w:t>B</w:t>
      </w:r>
      <w:r>
        <w:rPr>
          <w:rFonts w:eastAsia="Times New Roman"/>
          <w:bCs/>
          <w:i/>
        </w:rPr>
        <w:t>.</w:t>
      </w:r>
      <w:r w:rsidRPr="00BE3354">
        <w:rPr>
          <w:rFonts w:eastAsia="Times New Roman"/>
          <w:bCs/>
          <w:i/>
        </w:rPr>
        <w:t xml:space="preserve"> </w:t>
      </w:r>
      <w:proofErr w:type="spellStart"/>
      <w:r w:rsidRPr="00BE3354">
        <w:rPr>
          <w:rFonts w:eastAsia="Times New Roman"/>
          <w:bCs/>
          <w:i/>
        </w:rPr>
        <w:t>rapa</w:t>
      </w:r>
      <w:proofErr w:type="spellEnd"/>
      <w:r>
        <w:rPr>
          <w:rFonts w:eastAsia="Times New Roman"/>
          <w:bCs/>
        </w:rPr>
        <w:t xml:space="preserve"> [A3]. Finally, mutants for the </w:t>
      </w:r>
      <w:r w:rsidRPr="008B5C0F">
        <w:rPr>
          <w:rFonts w:eastAsia="Times New Roman"/>
          <w:bCs/>
          <w:i/>
        </w:rPr>
        <w:t>A. thaliana</w:t>
      </w:r>
      <w:r>
        <w:rPr>
          <w:rFonts w:eastAsia="Times New Roman"/>
          <w:bCs/>
        </w:rPr>
        <w:t xml:space="preserve"> AUXIN RESPONSE FACTOR 2 (ARF2) are impaired in ethylene biosynthesis gene expression, silique development and have larger seeds [A4]. Interestingly, transcripts of the putative </w:t>
      </w:r>
      <w:r w:rsidRPr="008B5C0F">
        <w:rPr>
          <w:rFonts w:eastAsia="Times New Roman"/>
          <w:bCs/>
          <w:i/>
        </w:rPr>
        <w:t xml:space="preserve">Ae. </w:t>
      </w:r>
      <w:proofErr w:type="spellStart"/>
      <w:r w:rsidRPr="008B5C0F">
        <w:rPr>
          <w:rFonts w:eastAsia="Times New Roman"/>
          <w:bCs/>
          <w:i/>
        </w:rPr>
        <w:t>arabicum</w:t>
      </w:r>
      <w:proofErr w:type="spellEnd"/>
      <w:r>
        <w:rPr>
          <w:rFonts w:eastAsia="Times New Roman"/>
          <w:bCs/>
        </w:rPr>
        <w:t xml:space="preserve"> </w:t>
      </w:r>
      <w:r w:rsidRPr="00A82E71">
        <w:rPr>
          <w:rFonts w:eastAsia="Times New Roman"/>
          <w:bCs/>
          <w:i/>
        </w:rPr>
        <w:t>ARF</w:t>
      </w:r>
      <w:r w:rsidRPr="00BE3354">
        <w:rPr>
          <w:rFonts w:eastAsia="Times New Roman"/>
          <w:bCs/>
          <w:i/>
        </w:rPr>
        <w:t>2</w:t>
      </w:r>
      <w:r>
        <w:rPr>
          <w:rFonts w:eastAsia="Times New Roman"/>
          <w:bCs/>
        </w:rPr>
        <w:t xml:space="preserve"> ortholog are among the NM-high DEGs (</w:t>
      </w:r>
      <w:r w:rsidR="00A37A5F">
        <w:t>Figure S4</w:t>
      </w:r>
      <w:r>
        <w:t xml:space="preserve">b, Additional </w:t>
      </w:r>
      <w:r w:rsidR="00A37A5F">
        <w:t>file 3</w:t>
      </w:r>
      <w:r>
        <w:t xml:space="preserve">). This suggests that the size difference between </w:t>
      </w:r>
      <w:r>
        <w:rPr>
          <w:rFonts w:eastAsia="Times New Roman"/>
          <w:bCs/>
        </w:rPr>
        <w:t>the dimorphic M</w:t>
      </w:r>
      <w:r w:rsidRPr="008B5C0F">
        <w:rPr>
          <w:rFonts w:eastAsia="Times New Roman"/>
          <w:bCs/>
          <w:vertAlign w:val="superscript"/>
        </w:rPr>
        <w:t>+</w:t>
      </w:r>
      <w:r w:rsidR="00E609CC">
        <w:rPr>
          <w:rFonts w:eastAsia="Times New Roman"/>
          <w:bCs/>
        </w:rPr>
        <w:t xml:space="preserve"> and NM</w:t>
      </w:r>
      <w:r>
        <w:rPr>
          <w:rFonts w:eastAsia="Times New Roman"/>
          <w:bCs/>
        </w:rPr>
        <w:t xml:space="preserve"> seeds of </w:t>
      </w:r>
      <w:r w:rsidRPr="008B5C0F">
        <w:rPr>
          <w:rFonts w:eastAsia="Times New Roman"/>
          <w:bCs/>
          <w:i/>
        </w:rPr>
        <w:t xml:space="preserve">Ae. </w:t>
      </w:r>
      <w:proofErr w:type="spellStart"/>
      <w:r w:rsidRPr="008B5C0F">
        <w:rPr>
          <w:rFonts w:eastAsia="Times New Roman"/>
          <w:bCs/>
          <w:i/>
        </w:rPr>
        <w:t>arabicum</w:t>
      </w:r>
      <w:proofErr w:type="spellEnd"/>
      <w:r>
        <w:rPr>
          <w:rFonts w:eastAsia="Times New Roman"/>
          <w:bCs/>
        </w:rPr>
        <w:t xml:space="preserve"> (Figure 1) could involve control by auxin-ethylene via ARF2. </w:t>
      </w:r>
    </w:p>
    <w:p w14:paraId="6BB643FC" w14:textId="77777777" w:rsidR="00FB30E5" w:rsidRPr="00E56012" w:rsidRDefault="00FB30E5" w:rsidP="00627248">
      <w:pPr>
        <w:rPr>
          <w:b/>
        </w:rPr>
      </w:pPr>
    </w:p>
    <w:p w14:paraId="4A5B0A0A" w14:textId="77777777" w:rsidR="00FB30E5" w:rsidRPr="005B4996" w:rsidRDefault="00FB30E5" w:rsidP="00C22341">
      <w:pPr>
        <w:pStyle w:val="EndNoteBibliography"/>
        <w:ind w:left="720" w:hanging="720"/>
      </w:pPr>
      <w:r>
        <w:t>A1</w:t>
      </w:r>
      <w:r w:rsidRPr="005B4996">
        <w:t>.</w:t>
      </w:r>
      <w:r w:rsidRPr="005B4996">
        <w:tab/>
        <w:t xml:space="preserve">Piskurewicz U, Jikumaru Y, Kinoshita N, Nambara E, Kamiya Y, Lopez-Molina L: </w:t>
      </w:r>
      <w:r w:rsidRPr="005B4996">
        <w:rPr>
          <w:b/>
        </w:rPr>
        <w:t xml:space="preserve">The gibberellic acid signaling repressor RGL2 inhibits </w:t>
      </w:r>
      <w:r w:rsidRPr="005B4996">
        <w:rPr>
          <w:b/>
          <w:i/>
        </w:rPr>
        <w:t>Arabidopsis</w:t>
      </w:r>
      <w:r w:rsidRPr="005B4996">
        <w:rPr>
          <w:b/>
        </w:rPr>
        <w:t xml:space="preserve"> seed germination by stimulating abscisic acid synthesis and ABI5 activity</w:t>
      </w:r>
      <w:r w:rsidRPr="005B4996">
        <w:t xml:space="preserve">. </w:t>
      </w:r>
      <w:r w:rsidRPr="005B4996">
        <w:rPr>
          <w:i/>
        </w:rPr>
        <w:t xml:space="preserve">The Plant Cell </w:t>
      </w:r>
      <w:r w:rsidRPr="005B4996">
        <w:t xml:space="preserve">2008, </w:t>
      </w:r>
      <w:r w:rsidRPr="005B4996">
        <w:rPr>
          <w:b/>
        </w:rPr>
        <w:t>20</w:t>
      </w:r>
      <w:r w:rsidRPr="005B4996">
        <w:t>(10):2729-2745.</w:t>
      </w:r>
    </w:p>
    <w:p w14:paraId="219D0644" w14:textId="77777777" w:rsidR="00FB30E5" w:rsidRDefault="00FB30E5" w:rsidP="00C22341">
      <w:pPr>
        <w:pStyle w:val="EndNoteBibliography"/>
        <w:ind w:left="720" w:hanging="720"/>
      </w:pPr>
      <w:r>
        <w:t>A2</w:t>
      </w:r>
      <w:r w:rsidRPr="005B4996">
        <w:t>.</w:t>
      </w:r>
      <w:r w:rsidRPr="005B4996">
        <w:tab/>
        <w:t xml:space="preserve">Corbineau F, Xia Q, Bailly C, El-Maarouf-Bouteau H: </w:t>
      </w:r>
      <w:r w:rsidRPr="005B4996">
        <w:rPr>
          <w:b/>
        </w:rPr>
        <w:t>Ethylene, a key factor in the regulation of seed dormancy</w:t>
      </w:r>
      <w:r w:rsidRPr="005B4996">
        <w:t xml:space="preserve">. </w:t>
      </w:r>
      <w:r w:rsidRPr="005B4996">
        <w:rPr>
          <w:i/>
        </w:rPr>
        <w:t xml:space="preserve">Front Plant Sci </w:t>
      </w:r>
      <w:r w:rsidRPr="005B4996">
        <w:t xml:space="preserve">2014, </w:t>
      </w:r>
      <w:r w:rsidRPr="005B4996">
        <w:rPr>
          <w:b/>
        </w:rPr>
        <w:t>5</w:t>
      </w:r>
      <w:r w:rsidRPr="005B4996">
        <w:t>:539.</w:t>
      </w:r>
    </w:p>
    <w:p w14:paraId="20061002" w14:textId="77777777" w:rsidR="00FB30E5" w:rsidRPr="005B4996" w:rsidRDefault="00FB30E5" w:rsidP="00C22341">
      <w:pPr>
        <w:pStyle w:val="EndNoteBibliography"/>
        <w:ind w:left="720" w:hanging="720"/>
      </w:pPr>
      <w:r>
        <w:t>A3</w:t>
      </w:r>
      <w:r w:rsidRPr="005B4996">
        <w:t>.</w:t>
      </w:r>
      <w:r w:rsidRPr="005B4996">
        <w:tab/>
        <w:t xml:space="preserve">Puga-Hermida MI, Gallardo M, Rodriguez-Gacio MD, Matilla AJ: </w:t>
      </w:r>
      <w:r w:rsidRPr="005B4996">
        <w:rPr>
          <w:b/>
        </w:rPr>
        <w:t>The heterogeneity of turnip-tops (</w:t>
      </w:r>
      <w:r w:rsidRPr="005B4996">
        <w:rPr>
          <w:b/>
          <w:i/>
        </w:rPr>
        <w:t>Brassica rapa</w:t>
      </w:r>
      <w:r w:rsidRPr="005B4996">
        <w:rPr>
          <w:b/>
        </w:rPr>
        <w:t>) seeds inside the silique affects germination, the activity of the final step of the ethylene pathway, and abscisic acid and polyamine content</w:t>
      </w:r>
      <w:r w:rsidRPr="005B4996">
        <w:t xml:space="preserve">. </w:t>
      </w:r>
      <w:r w:rsidRPr="005B4996">
        <w:rPr>
          <w:i/>
        </w:rPr>
        <w:t xml:space="preserve">Functional Plant Biology </w:t>
      </w:r>
      <w:r w:rsidRPr="005B4996">
        <w:t xml:space="preserve">2003, </w:t>
      </w:r>
      <w:r w:rsidRPr="005B4996">
        <w:rPr>
          <w:b/>
        </w:rPr>
        <w:t>30</w:t>
      </w:r>
      <w:r w:rsidRPr="005B4996">
        <w:t>(7):767-775.</w:t>
      </w:r>
    </w:p>
    <w:p w14:paraId="23A0E423" w14:textId="77777777" w:rsidR="00FB30E5" w:rsidRPr="005B4996" w:rsidRDefault="00FB30E5" w:rsidP="00C22341">
      <w:pPr>
        <w:pStyle w:val="EndNoteBibliography"/>
        <w:ind w:left="720" w:hanging="720"/>
      </w:pPr>
      <w:r>
        <w:t>A4</w:t>
      </w:r>
      <w:r w:rsidRPr="005B4996">
        <w:t>.</w:t>
      </w:r>
      <w:r w:rsidRPr="005B4996">
        <w:tab/>
        <w:t xml:space="preserve">Okushima Y, Mitina I, Quach HL, Theologis A: </w:t>
      </w:r>
      <w:r w:rsidRPr="005B4996">
        <w:rPr>
          <w:b/>
        </w:rPr>
        <w:t>AUXIN RESPONSE FACTOR 2 (ARF2): a pleiotropic developmental regulator</w:t>
      </w:r>
      <w:r w:rsidRPr="005B4996">
        <w:t xml:space="preserve">. </w:t>
      </w:r>
      <w:r w:rsidRPr="005B4996">
        <w:rPr>
          <w:i/>
        </w:rPr>
        <w:t xml:space="preserve">Plant J </w:t>
      </w:r>
      <w:r w:rsidRPr="005B4996">
        <w:t xml:space="preserve">2005, </w:t>
      </w:r>
      <w:r w:rsidRPr="005B4996">
        <w:rPr>
          <w:b/>
        </w:rPr>
        <w:t>43</w:t>
      </w:r>
      <w:r w:rsidRPr="005B4996">
        <w:t>(1):29-46.</w:t>
      </w:r>
    </w:p>
    <w:p w14:paraId="6E5CCA29" w14:textId="77777777" w:rsidR="00FB30E5" w:rsidRPr="009F24F9" w:rsidRDefault="00FB30E5">
      <w:pPr>
        <w:rPr>
          <w:noProof/>
        </w:rPr>
      </w:pPr>
    </w:p>
    <w:p w14:paraId="27FD5E0B" w14:textId="5205B405" w:rsidR="00FB30E5" w:rsidRDefault="00FB30E5"/>
    <w:p w14:paraId="3FD80081" w14:textId="5C9822CA" w:rsidR="00FB30E5" w:rsidRDefault="00FB30E5"/>
    <w:p w14:paraId="537B75A0" w14:textId="425C5796" w:rsidR="00FB30E5" w:rsidRDefault="00FB30E5"/>
    <w:p w14:paraId="6B98F4E0" w14:textId="65F717FB" w:rsidR="00FB30E5" w:rsidRDefault="00FB30E5"/>
    <w:p w14:paraId="535FD385" w14:textId="1E427F44" w:rsidR="00FB30E5" w:rsidRDefault="00FB30E5"/>
    <w:p w14:paraId="78192765" w14:textId="780949C5" w:rsidR="00FB30E5" w:rsidRDefault="00FB30E5"/>
    <w:p w14:paraId="176002FB" w14:textId="595F06C3" w:rsidR="00FB30E5" w:rsidRDefault="00FB30E5"/>
    <w:p w14:paraId="2D934DCB" w14:textId="071C2E41" w:rsidR="00FB30E5" w:rsidRDefault="00FB30E5"/>
    <w:p w14:paraId="5F272E5B" w14:textId="7D2A427B" w:rsidR="00FB30E5" w:rsidRDefault="00FB30E5"/>
    <w:p w14:paraId="59455853" w14:textId="545A5ADE" w:rsidR="00FB30E5" w:rsidRDefault="00FB30E5"/>
    <w:p w14:paraId="295CD403" w14:textId="693E3700" w:rsidR="00FB30E5" w:rsidRDefault="00FB30E5"/>
    <w:p w14:paraId="12D0F8E2" w14:textId="75E8AF92" w:rsidR="00FB30E5" w:rsidRDefault="00FB30E5"/>
    <w:p w14:paraId="7AA45A17" w14:textId="0E210D7C" w:rsidR="00FB30E5" w:rsidRDefault="00FB30E5"/>
    <w:p w14:paraId="250EFB88" w14:textId="4AD44DB2" w:rsidR="00FB30E5" w:rsidRDefault="00FB30E5"/>
    <w:p w14:paraId="4DB595D5" w14:textId="4A41E2FF" w:rsidR="00FB30E5" w:rsidRDefault="00FB30E5"/>
    <w:p w14:paraId="5CAE2993" w14:textId="207DDD8C" w:rsidR="00FB30E5" w:rsidRDefault="00FB30E5"/>
    <w:p w14:paraId="17A901FA" w14:textId="49BD9D8D" w:rsidR="00FB30E5" w:rsidRDefault="00FB30E5"/>
    <w:p w14:paraId="0A51F9E0" w14:textId="05EBBD14" w:rsidR="00FB30E5" w:rsidRDefault="00FB30E5"/>
    <w:p w14:paraId="3FC14C4E" w14:textId="75993455" w:rsidR="00FB30E5" w:rsidRDefault="00FB30E5"/>
    <w:p w14:paraId="1179A595" w14:textId="02D1EC9F" w:rsidR="00FB30E5" w:rsidRDefault="00FB30E5"/>
    <w:p w14:paraId="4A6F38AC" w14:textId="27DDFF12" w:rsidR="00FB30E5" w:rsidRDefault="00FB30E5"/>
    <w:p w14:paraId="0A8F2531" w14:textId="30927F80" w:rsidR="00FB30E5" w:rsidRDefault="00FB30E5"/>
    <w:p w14:paraId="7F321BE6" w14:textId="406554EB" w:rsidR="00FB30E5" w:rsidRDefault="00FB30E5"/>
    <w:p w14:paraId="0A7799B6" w14:textId="29508288" w:rsidR="00FB30E5" w:rsidRDefault="00FB30E5"/>
    <w:p w14:paraId="10AC63B7" w14:textId="407A21D2" w:rsidR="00FB30E5" w:rsidRDefault="00FB30E5"/>
    <w:p w14:paraId="287053ED" w14:textId="78506E61" w:rsidR="00FB30E5" w:rsidRDefault="00FB30E5"/>
    <w:p w14:paraId="40A783C9" w14:textId="75779C4B" w:rsidR="00FB30E5" w:rsidRDefault="00FB30E5"/>
    <w:p w14:paraId="08B3E721" w14:textId="78B69675" w:rsidR="00FB30E5" w:rsidRDefault="00FB30E5"/>
    <w:p w14:paraId="0FB6EC8F" w14:textId="779DECB5" w:rsidR="00FB30E5" w:rsidRDefault="00FB30E5"/>
    <w:p w14:paraId="7003156A" w14:textId="41597BFE" w:rsidR="00FB30E5" w:rsidRDefault="00FB30E5"/>
    <w:p w14:paraId="35706947" w14:textId="77777777" w:rsidR="00FB30E5" w:rsidRDefault="00FB30E5" w:rsidP="008055A1">
      <w:pPr>
        <w:rPr>
          <w:rFonts w:cs="Arial"/>
          <w:b/>
          <w:color w:val="FF0000"/>
        </w:rPr>
      </w:pPr>
      <w:r>
        <w:rPr>
          <w:rFonts w:cs="Arial"/>
          <w:b/>
          <w:noProof/>
          <w:color w:val="FF0000"/>
          <w:lang w:val="de-DE" w:eastAsia="de-DE"/>
        </w:rPr>
        <w:lastRenderedPageBreak/>
        <w:drawing>
          <wp:inline distT="0" distB="0" distL="0" distR="0" wp14:anchorId="71FACC4F" wp14:editId="3D7CD980">
            <wp:extent cx="3262402" cy="2466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17" cy="24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1085"/>
        <w:gridCol w:w="730"/>
        <w:gridCol w:w="730"/>
        <w:gridCol w:w="972"/>
      </w:tblGrid>
      <w:tr w:rsidR="00FB30E5" w:rsidRPr="00EC231D" w14:paraId="471CC85A" w14:textId="77777777" w:rsidTr="008055A1"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</w:tcPr>
          <w:p w14:paraId="3483A122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Sample Name:</w:t>
            </w:r>
          </w:p>
        </w:tc>
        <w:tc>
          <w:tcPr>
            <w:tcW w:w="1085" w:type="dxa"/>
            <w:tcBorders>
              <w:top w:val="single" w:sz="12" w:space="0" w:color="auto"/>
              <w:bottom w:val="single" w:sz="12" w:space="0" w:color="auto"/>
            </w:tcBorders>
          </w:tcPr>
          <w:p w14:paraId="38C9751C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Conc. (ng/µl)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14:paraId="239E9242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A</w:t>
            </w:r>
            <w:r w:rsidRPr="008055A1">
              <w:rPr>
                <w:b/>
                <w:vertAlign w:val="subscript"/>
              </w:rPr>
              <w:t>260</w:t>
            </w:r>
            <w:r w:rsidRPr="008055A1">
              <w:rPr>
                <w:b/>
              </w:rPr>
              <w:t>/</w:t>
            </w:r>
          </w:p>
          <w:p w14:paraId="155DB4B6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A</w:t>
            </w:r>
            <w:r w:rsidRPr="008055A1">
              <w:rPr>
                <w:b/>
                <w:vertAlign w:val="subscript"/>
              </w:rPr>
              <w:t>280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14:paraId="46EA6F93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A</w:t>
            </w:r>
            <w:r w:rsidRPr="008055A1">
              <w:rPr>
                <w:b/>
                <w:vertAlign w:val="subscript"/>
              </w:rPr>
              <w:t>260</w:t>
            </w:r>
            <w:r w:rsidRPr="008055A1">
              <w:rPr>
                <w:b/>
              </w:rPr>
              <w:t>/</w:t>
            </w:r>
          </w:p>
          <w:p w14:paraId="2AC742DB" w14:textId="77777777" w:rsidR="00FB30E5" w:rsidRPr="008055A1" w:rsidRDefault="00FB30E5" w:rsidP="008055A1">
            <w:pPr>
              <w:rPr>
                <w:b/>
              </w:rPr>
            </w:pPr>
            <w:r w:rsidRPr="008055A1">
              <w:rPr>
                <w:b/>
              </w:rPr>
              <w:t>A</w:t>
            </w:r>
            <w:r w:rsidRPr="008055A1">
              <w:rPr>
                <w:b/>
                <w:vertAlign w:val="subscript"/>
              </w:rPr>
              <w:t>230</w:t>
            </w:r>
          </w:p>
        </w:tc>
        <w:tc>
          <w:tcPr>
            <w:tcW w:w="950" w:type="dxa"/>
            <w:tcBorders>
              <w:top w:val="single" w:sz="12" w:space="0" w:color="auto"/>
              <w:bottom w:val="single" w:sz="12" w:space="0" w:color="auto"/>
            </w:tcBorders>
          </w:tcPr>
          <w:p w14:paraId="395C86FA" w14:textId="77777777" w:rsidR="00FB30E5" w:rsidRPr="008055A1" w:rsidRDefault="00FB30E5" w:rsidP="008055A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055A1">
              <w:rPr>
                <w:b/>
              </w:rPr>
              <w:t xml:space="preserve">Amount </w:t>
            </w:r>
          </w:p>
          <w:p w14:paraId="2DB3003C" w14:textId="77777777" w:rsidR="00FB30E5" w:rsidRPr="008055A1" w:rsidRDefault="00FB30E5" w:rsidP="008055A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055A1">
              <w:rPr>
                <w:b/>
              </w:rPr>
              <w:t>(µg)</w:t>
            </w:r>
          </w:p>
        </w:tc>
      </w:tr>
      <w:tr w:rsidR="00FB30E5" w:rsidRPr="00EC231D" w14:paraId="63FE7327" w14:textId="77777777" w:rsidTr="008055A1">
        <w:tc>
          <w:tcPr>
            <w:tcW w:w="895" w:type="dxa"/>
            <w:tcBorders>
              <w:top w:val="single" w:sz="12" w:space="0" w:color="auto"/>
            </w:tcBorders>
          </w:tcPr>
          <w:p w14:paraId="363EF445" w14:textId="77777777" w:rsidR="00FB30E5" w:rsidRPr="008055A1" w:rsidRDefault="00FB30E5" w:rsidP="002B1A1E">
            <w:pPr>
              <w:rPr>
                <w:b/>
              </w:rPr>
            </w:pPr>
            <w:r w:rsidRPr="008055A1">
              <w:rPr>
                <w:b/>
              </w:rPr>
              <w:t>M</w:t>
            </w:r>
            <w:r w:rsidRPr="008055A1">
              <w:rPr>
                <w:b/>
                <w:vertAlign w:val="superscript"/>
              </w:rPr>
              <w:t>+</w:t>
            </w:r>
            <w:r w:rsidRPr="008055A1">
              <w:rPr>
                <w:b/>
              </w:rPr>
              <w:t>1</w:t>
            </w:r>
          </w:p>
        </w:tc>
        <w:tc>
          <w:tcPr>
            <w:tcW w:w="1085" w:type="dxa"/>
            <w:tcBorders>
              <w:top w:val="single" w:sz="12" w:space="0" w:color="auto"/>
            </w:tcBorders>
          </w:tcPr>
          <w:p w14:paraId="282DD129" w14:textId="77777777" w:rsidR="00FB30E5" w:rsidRPr="00EC231D" w:rsidRDefault="00FB30E5" w:rsidP="002B1A1E">
            <w:r>
              <w:t>389</w:t>
            </w:r>
          </w:p>
        </w:tc>
        <w:tc>
          <w:tcPr>
            <w:tcW w:w="730" w:type="dxa"/>
            <w:tcBorders>
              <w:top w:val="single" w:sz="12" w:space="0" w:color="auto"/>
            </w:tcBorders>
          </w:tcPr>
          <w:p w14:paraId="00BDE06C" w14:textId="77777777" w:rsidR="00FB30E5" w:rsidRPr="00EC231D" w:rsidRDefault="00FB30E5" w:rsidP="002B1A1E">
            <w:r>
              <w:t>2.</w:t>
            </w:r>
            <w:r w:rsidRPr="00EC231D">
              <w:t>03</w:t>
            </w:r>
          </w:p>
        </w:tc>
        <w:tc>
          <w:tcPr>
            <w:tcW w:w="730" w:type="dxa"/>
            <w:tcBorders>
              <w:top w:val="single" w:sz="12" w:space="0" w:color="auto"/>
            </w:tcBorders>
          </w:tcPr>
          <w:p w14:paraId="0F575080" w14:textId="77777777" w:rsidR="00FB30E5" w:rsidRPr="00EC231D" w:rsidRDefault="00FB30E5" w:rsidP="002B1A1E">
            <w:r>
              <w:t>1.</w:t>
            </w:r>
            <w:r w:rsidRPr="00EC231D">
              <w:t>99</w:t>
            </w:r>
          </w:p>
        </w:tc>
        <w:tc>
          <w:tcPr>
            <w:tcW w:w="950" w:type="dxa"/>
            <w:tcBorders>
              <w:top w:val="single" w:sz="12" w:space="0" w:color="auto"/>
            </w:tcBorders>
          </w:tcPr>
          <w:p w14:paraId="23B7F9FF" w14:textId="77777777" w:rsidR="00FB30E5" w:rsidRPr="00EC231D" w:rsidRDefault="00FB30E5" w:rsidP="002B1A1E">
            <w:r>
              <w:t>18.8</w:t>
            </w:r>
          </w:p>
        </w:tc>
      </w:tr>
      <w:tr w:rsidR="00FB30E5" w:rsidRPr="00EC231D" w14:paraId="3BE6FF87" w14:textId="77777777" w:rsidTr="008055A1">
        <w:tc>
          <w:tcPr>
            <w:tcW w:w="895" w:type="dxa"/>
          </w:tcPr>
          <w:p w14:paraId="33949A9D" w14:textId="77777777" w:rsidR="00FB30E5" w:rsidRPr="008055A1" w:rsidRDefault="00FB30E5" w:rsidP="002B1A1E">
            <w:pPr>
              <w:rPr>
                <w:b/>
              </w:rPr>
            </w:pPr>
            <w:r w:rsidRPr="008055A1">
              <w:rPr>
                <w:b/>
              </w:rPr>
              <w:t>M</w:t>
            </w:r>
            <w:r w:rsidRPr="008055A1">
              <w:rPr>
                <w:b/>
                <w:vertAlign w:val="superscript"/>
              </w:rPr>
              <w:t>+</w:t>
            </w:r>
            <w:r w:rsidRPr="008055A1">
              <w:rPr>
                <w:b/>
              </w:rPr>
              <w:t>2</w:t>
            </w:r>
          </w:p>
        </w:tc>
        <w:tc>
          <w:tcPr>
            <w:tcW w:w="1085" w:type="dxa"/>
          </w:tcPr>
          <w:p w14:paraId="66FC495B" w14:textId="77777777" w:rsidR="00FB30E5" w:rsidRPr="00EC231D" w:rsidRDefault="00FB30E5" w:rsidP="002B1A1E">
            <w:r>
              <w:t>293</w:t>
            </w:r>
          </w:p>
        </w:tc>
        <w:tc>
          <w:tcPr>
            <w:tcW w:w="730" w:type="dxa"/>
          </w:tcPr>
          <w:p w14:paraId="77971D78" w14:textId="77777777" w:rsidR="00FB30E5" w:rsidRPr="00EC231D" w:rsidRDefault="00FB30E5" w:rsidP="002B1A1E">
            <w:r>
              <w:t>2.00</w:t>
            </w:r>
          </w:p>
        </w:tc>
        <w:tc>
          <w:tcPr>
            <w:tcW w:w="730" w:type="dxa"/>
          </w:tcPr>
          <w:p w14:paraId="7B5276A2" w14:textId="77777777" w:rsidR="00FB30E5" w:rsidRPr="00EC231D" w:rsidRDefault="00FB30E5" w:rsidP="002B1A1E">
            <w:r>
              <w:t>2.</w:t>
            </w:r>
            <w:r w:rsidRPr="00EC231D">
              <w:t>34</w:t>
            </w:r>
          </w:p>
        </w:tc>
        <w:tc>
          <w:tcPr>
            <w:tcW w:w="950" w:type="dxa"/>
          </w:tcPr>
          <w:p w14:paraId="259E1060" w14:textId="77777777" w:rsidR="00FB30E5" w:rsidRPr="00EC231D" w:rsidRDefault="00FB30E5" w:rsidP="002B1A1E">
            <w:r>
              <w:t>14.2</w:t>
            </w:r>
          </w:p>
        </w:tc>
      </w:tr>
      <w:tr w:rsidR="00FB30E5" w:rsidRPr="00EC231D" w14:paraId="1086DAEF" w14:textId="77777777" w:rsidTr="008055A1">
        <w:tc>
          <w:tcPr>
            <w:tcW w:w="895" w:type="dxa"/>
          </w:tcPr>
          <w:p w14:paraId="27E5B0EA" w14:textId="77777777" w:rsidR="00FB30E5" w:rsidRPr="008055A1" w:rsidRDefault="00FB30E5" w:rsidP="002B1A1E">
            <w:pPr>
              <w:rPr>
                <w:b/>
              </w:rPr>
            </w:pPr>
            <w:r w:rsidRPr="008055A1">
              <w:rPr>
                <w:b/>
              </w:rPr>
              <w:t>NM1</w:t>
            </w:r>
          </w:p>
        </w:tc>
        <w:tc>
          <w:tcPr>
            <w:tcW w:w="1085" w:type="dxa"/>
          </w:tcPr>
          <w:p w14:paraId="31C0D6CD" w14:textId="77777777" w:rsidR="00FB30E5" w:rsidRPr="00EC231D" w:rsidRDefault="00FB30E5" w:rsidP="002B1A1E">
            <w:r>
              <w:t>153</w:t>
            </w:r>
          </w:p>
        </w:tc>
        <w:tc>
          <w:tcPr>
            <w:tcW w:w="730" w:type="dxa"/>
          </w:tcPr>
          <w:p w14:paraId="4DFD4F7D" w14:textId="77777777" w:rsidR="00FB30E5" w:rsidRPr="00EC231D" w:rsidRDefault="00FB30E5" w:rsidP="002B1A1E">
            <w:r>
              <w:t>2.12</w:t>
            </w:r>
          </w:p>
        </w:tc>
        <w:tc>
          <w:tcPr>
            <w:tcW w:w="730" w:type="dxa"/>
          </w:tcPr>
          <w:p w14:paraId="09DF4029" w14:textId="77777777" w:rsidR="00FB30E5" w:rsidRPr="00EC231D" w:rsidRDefault="00FB30E5" w:rsidP="002B1A1E">
            <w:r>
              <w:t>1.</w:t>
            </w:r>
            <w:r w:rsidRPr="00EC231D">
              <w:t>88</w:t>
            </w:r>
          </w:p>
        </w:tc>
        <w:tc>
          <w:tcPr>
            <w:tcW w:w="950" w:type="dxa"/>
          </w:tcPr>
          <w:p w14:paraId="54AD1EE3" w14:textId="77777777" w:rsidR="00FB30E5" w:rsidRPr="00EC231D" w:rsidRDefault="00FB30E5" w:rsidP="002B1A1E">
            <w:r>
              <w:t>7.34</w:t>
            </w:r>
          </w:p>
        </w:tc>
      </w:tr>
      <w:tr w:rsidR="00FB30E5" w:rsidRPr="00EC231D" w14:paraId="1F7C4283" w14:textId="77777777" w:rsidTr="008055A1">
        <w:tc>
          <w:tcPr>
            <w:tcW w:w="895" w:type="dxa"/>
            <w:tcBorders>
              <w:bottom w:val="single" w:sz="12" w:space="0" w:color="auto"/>
            </w:tcBorders>
          </w:tcPr>
          <w:p w14:paraId="2089CEF4" w14:textId="77777777" w:rsidR="00FB30E5" w:rsidRPr="008055A1" w:rsidRDefault="00FB30E5" w:rsidP="002B1A1E">
            <w:pPr>
              <w:rPr>
                <w:b/>
              </w:rPr>
            </w:pPr>
            <w:r w:rsidRPr="008055A1">
              <w:rPr>
                <w:b/>
              </w:rPr>
              <w:t>NM2</w:t>
            </w:r>
          </w:p>
        </w:tc>
        <w:tc>
          <w:tcPr>
            <w:tcW w:w="1085" w:type="dxa"/>
            <w:tcBorders>
              <w:bottom w:val="single" w:sz="12" w:space="0" w:color="auto"/>
            </w:tcBorders>
          </w:tcPr>
          <w:p w14:paraId="61D52F18" w14:textId="77777777" w:rsidR="00FB30E5" w:rsidRPr="00EC231D" w:rsidRDefault="00FB30E5" w:rsidP="002B1A1E">
            <w:r>
              <w:t>204</w:t>
            </w:r>
          </w:p>
        </w:tc>
        <w:tc>
          <w:tcPr>
            <w:tcW w:w="730" w:type="dxa"/>
            <w:tcBorders>
              <w:bottom w:val="single" w:sz="12" w:space="0" w:color="auto"/>
            </w:tcBorders>
          </w:tcPr>
          <w:p w14:paraId="4A7C9E5C" w14:textId="77777777" w:rsidR="00FB30E5" w:rsidRPr="00EC231D" w:rsidRDefault="00FB30E5" w:rsidP="002B1A1E">
            <w:r>
              <w:t>2.10</w:t>
            </w:r>
          </w:p>
        </w:tc>
        <w:tc>
          <w:tcPr>
            <w:tcW w:w="730" w:type="dxa"/>
            <w:tcBorders>
              <w:bottom w:val="single" w:sz="12" w:space="0" w:color="auto"/>
            </w:tcBorders>
          </w:tcPr>
          <w:p w14:paraId="29D405D1" w14:textId="77777777" w:rsidR="00FB30E5" w:rsidRPr="00EC231D" w:rsidRDefault="00FB30E5" w:rsidP="002B1A1E">
            <w:r>
              <w:t>2.</w:t>
            </w:r>
            <w:r w:rsidRPr="00EC231D">
              <w:t>08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14:paraId="45EFE6F6" w14:textId="77777777" w:rsidR="00FB30E5" w:rsidRPr="00EC231D" w:rsidRDefault="00FB30E5" w:rsidP="002B1A1E">
            <w:r>
              <w:t>9.77</w:t>
            </w:r>
          </w:p>
        </w:tc>
      </w:tr>
    </w:tbl>
    <w:p w14:paraId="7D105894" w14:textId="77777777" w:rsidR="00FB30E5" w:rsidRDefault="00FB30E5" w:rsidP="008055A1">
      <w:pPr>
        <w:rPr>
          <w:rFonts w:cs="Arial"/>
          <w:b/>
          <w:color w:val="FF0000"/>
        </w:rPr>
      </w:pPr>
    </w:p>
    <w:p w14:paraId="7723206C" w14:textId="27C4DD50" w:rsidR="00FB30E5" w:rsidRDefault="00FB30E5" w:rsidP="008055A1">
      <w:pPr>
        <w:jc w:val="both"/>
        <w:rPr>
          <w:rFonts w:cs="Arial"/>
          <w:b/>
          <w:color w:val="FF0000"/>
        </w:rPr>
      </w:pPr>
      <w:r w:rsidRPr="000368D4">
        <w:rPr>
          <w:b/>
        </w:rPr>
        <w:t>Fig</w:t>
      </w:r>
      <w:r>
        <w:rPr>
          <w:b/>
        </w:rPr>
        <w:t>ure</w:t>
      </w:r>
      <w:r w:rsidRPr="000368D4">
        <w:rPr>
          <w:b/>
        </w:rPr>
        <w:t xml:space="preserve"> </w:t>
      </w:r>
      <w:r>
        <w:rPr>
          <w:b/>
        </w:rPr>
        <w:t>S</w:t>
      </w:r>
      <w:r w:rsidR="00276C43">
        <w:rPr>
          <w:b/>
        </w:rPr>
        <w:t>6</w:t>
      </w:r>
      <w:r>
        <w:rPr>
          <w:b/>
        </w:rPr>
        <w:t xml:space="preserve">: RNA integrity was checked by gel electrophoresis. </w:t>
      </w:r>
      <w:r>
        <w:t>RNA was separated on an agarose gel. The presence of intact 25S and 18S RNA (indicated) was used to verify RNA integrity of NM and M</w:t>
      </w:r>
      <w:r>
        <w:rPr>
          <w:vertAlign w:val="superscript"/>
        </w:rPr>
        <w:t>+</w:t>
      </w:r>
      <w:r>
        <w:t xml:space="preserve"> RNA. Ladder is </w:t>
      </w:r>
      <w:proofErr w:type="spellStart"/>
      <w:r>
        <w:t>GeneRuler</w:t>
      </w:r>
      <w:proofErr w:type="spellEnd"/>
      <w:r>
        <w:t xml:space="preserve"> 1 kb Plus DNA Ladder (visible fragment sizes indicated), with 25S and 18S RNA bands indicated. RNA purity (A</w:t>
      </w:r>
      <w:r>
        <w:rPr>
          <w:vertAlign w:val="subscript"/>
        </w:rPr>
        <w:t xml:space="preserve">260 </w:t>
      </w:r>
      <w:r>
        <w:t>/ A</w:t>
      </w:r>
      <w:r>
        <w:rPr>
          <w:vertAlign w:val="subscript"/>
        </w:rPr>
        <w:t>280</w:t>
      </w:r>
      <w:r>
        <w:t>, A</w:t>
      </w:r>
      <w:r>
        <w:rPr>
          <w:vertAlign w:val="subscript"/>
        </w:rPr>
        <w:t>260</w:t>
      </w:r>
      <w:r>
        <w:t>/A</w:t>
      </w:r>
      <w:r>
        <w:rPr>
          <w:vertAlign w:val="subscript"/>
        </w:rPr>
        <w:t>230</w:t>
      </w:r>
      <w:r>
        <w:t xml:space="preserve">) and concentration </w:t>
      </w:r>
      <w:proofErr w:type="gramStart"/>
      <w:r>
        <w:t>was</w:t>
      </w:r>
      <w:proofErr w:type="gramEnd"/>
      <w:r>
        <w:t xml:space="preserve"> determined using spectrophotometry.</w:t>
      </w:r>
    </w:p>
    <w:p w14:paraId="199FB66A" w14:textId="77777777" w:rsidR="00FB30E5" w:rsidRDefault="00FB30E5"/>
    <w:p w14:paraId="1F25B8A2" w14:textId="77777777" w:rsidR="00FB30E5" w:rsidRDefault="00FB30E5">
      <w:pPr>
        <w:spacing w:after="160" w:line="259" w:lineRule="auto"/>
      </w:pPr>
      <w:r>
        <w:br w:type="page"/>
      </w:r>
    </w:p>
    <w:p w14:paraId="0528D434" w14:textId="14509ABC" w:rsidR="00FB30E5" w:rsidRDefault="00A55846" w:rsidP="008C469E">
      <w:pPr>
        <w:rPr>
          <w:b/>
        </w:rPr>
      </w:pPr>
      <w:r>
        <w:rPr>
          <w:b/>
          <w:noProof/>
          <w:lang w:val="en-US"/>
        </w:rPr>
        <w:lastRenderedPageBreak/>
      </w:r>
      <w:r w:rsidR="00A55846">
        <w:rPr>
          <w:b/>
          <w:noProof/>
          <w:lang w:val="en-US"/>
        </w:rPr>
        <w:pict w14:anchorId="3E6CC897">
          <v:shape id="_x0000_i1028" type="#_x0000_t75" alt="" style="width:370.5pt;height:290.45pt;mso-width-percent:0;mso-height-percent:0;mso-width-percent:0;mso-height-percent:0">
            <v:imagedata r:id="rId11" o:title="S7"/>
          </v:shape>
        </w:pict>
      </w:r>
    </w:p>
    <w:p w14:paraId="0A618EF5" w14:textId="4D378B5B" w:rsidR="00FB30E5" w:rsidRPr="00A714FA" w:rsidRDefault="00FB30E5" w:rsidP="008C469E">
      <w:pPr>
        <w:rPr>
          <w:b/>
          <w:u w:val="single"/>
        </w:rPr>
      </w:pPr>
      <w:r>
        <w:rPr>
          <w:b/>
        </w:rPr>
        <w:t>Figure S</w:t>
      </w:r>
      <w:r w:rsidR="00276C43">
        <w:rPr>
          <w:b/>
        </w:rPr>
        <w:t>7</w:t>
      </w:r>
      <w:r>
        <w:rPr>
          <w:b/>
        </w:rPr>
        <w:t>: Transcript abundance of candidate RT-qPCR normalisation reference genes dry in M</w:t>
      </w:r>
      <w:r>
        <w:rPr>
          <w:b/>
          <w:vertAlign w:val="superscript"/>
        </w:rPr>
        <w:t>+</w:t>
      </w:r>
      <w:r w:rsidR="00A37A5F">
        <w:rPr>
          <w:b/>
        </w:rPr>
        <w:t xml:space="preserve"> and NM </w:t>
      </w:r>
      <w:r>
        <w:rPr>
          <w:b/>
        </w:rPr>
        <w:t xml:space="preserve">seed. </w:t>
      </w:r>
      <w:r>
        <w:t xml:space="preserve">The efficiency corrected transcript abundance of </w:t>
      </w:r>
      <w:r>
        <w:rPr>
          <w:i/>
        </w:rPr>
        <w:t>ACT2</w:t>
      </w:r>
      <w:r>
        <w:t xml:space="preserve">, </w:t>
      </w:r>
      <w:r>
        <w:rPr>
          <w:i/>
        </w:rPr>
        <w:t xml:space="preserve">UBQ10 </w:t>
      </w:r>
      <w:r>
        <w:t xml:space="preserve">and </w:t>
      </w:r>
      <w:r>
        <w:rPr>
          <w:i/>
        </w:rPr>
        <w:t xml:space="preserve">APC </w:t>
      </w:r>
      <w:r>
        <w:t xml:space="preserve">was calculated as </w:t>
      </w:r>
      <w:r>
        <w:rPr>
          <w:rFonts w:cstheme="minorHAnsi"/>
          <w:color w:val="000000"/>
          <w:shd w:val="clear" w:color="auto" w:fill="FFFFFF"/>
        </w:rPr>
        <w:t>(1</w:t>
      </w:r>
      <w:r w:rsidRPr="00A714FA">
        <w:rPr>
          <w:rFonts w:cstheme="minorHAnsi"/>
          <w:color w:val="000000"/>
          <w:shd w:val="clear" w:color="auto" w:fill="FFFFFF"/>
        </w:rPr>
        <w:t>+</w:t>
      </w:r>
      <w:r w:rsidRPr="00A714FA">
        <w:rPr>
          <w:rStyle w:val="Emphasis"/>
          <w:rFonts w:cstheme="minorHAnsi"/>
          <w:color w:val="000000"/>
          <w:bdr w:val="none" w:sz="0" w:space="0" w:color="auto" w:frame="1"/>
          <w:shd w:val="clear" w:color="auto" w:fill="FFFFFF"/>
        </w:rPr>
        <w:t>E</w:t>
      </w:r>
      <w:r w:rsidRPr="00A714FA">
        <w:rPr>
          <w:rFonts w:cstheme="minorHAnsi"/>
          <w:color w:val="000000"/>
          <w:bdr w:val="none" w:sz="0" w:space="0" w:color="auto" w:frame="1"/>
          <w:shd w:val="clear" w:color="auto" w:fill="FFFFFF"/>
          <w:vertAlign w:val="subscript"/>
        </w:rPr>
        <w:t>AveragePerAmplicon</w:t>
      </w:r>
      <w:r w:rsidRPr="00A714FA">
        <w:rPr>
          <w:rFonts w:cstheme="minorHAnsi"/>
          <w:color w:val="000000"/>
          <w:shd w:val="clear" w:color="auto" w:fill="FFFFFF"/>
        </w:rPr>
        <w:t>)</w:t>
      </w:r>
      <w:r w:rsidRPr="00A714FA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>−</w:t>
      </w:r>
      <w:proofErr w:type="spellStart"/>
      <w:r w:rsidRPr="00A714FA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>CT</w:t>
      </w:r>
      <w:r w:rsidRPr="00A714FA">
        <w:rPr>
          <w:rFonts w:cstheme="minorHAnsi"/>
          <w:color w:val="000000"/>
          <w:bdr w:val="none" w:sz="0" w:space="0" w:color="auto" w:frame="1"/>
          <w:shd w:val="clear" w:color="auto" w:fill="FFFFFF"/>
          <w:vertAlign w:val="subscript"/>
        </w:rPr>
        <w:t>IndividualSample</w:t>
      </w:r>
      <w:proofErr w:type="spellEnd"/>
      <w:r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, as previously described in Graeber </w:t>
      </w:r>
      <w:r>
        <w:rPr>
          <w:rFonts w:cstheme="minorHAnsi"/>
          <w:i/>
          <w:color w:val="000000"/>
          <w:bdr w:val="none" w:sz="0" w:space="0" w:color="auto" w:frame="1"/>
          <w:shd w:val="clear" w:color="auto" w:fill="FFFFFF"/>
        </w:rPr>
        <w:t>et al.,</w:t>
      </w:r>
      <w:r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2011. The geometric mean of abundance of the genes is plotted for each </w:t>
      </w:r>
      <w:proofErr w:type="gramStart"/>
      <w:r>
        <w:rPr>
          <w:rFonts w:cstheme="minorHAnsi"/>
          <w:color w:val="000000"/>
          <w:bdr w:val="none" w:sz="0" w:space="0" w:color="auto" w:frame="1"/>
          <w:shd w:val="clear" w:color="auto" w:fill="FFFFFF"/>
        </w:rPr>
        <w:t>sample, and</w:t>
      </w:r>
      <w:proofErr w:type="gramEnd"/>
      <w:r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was used to normalize RT-qPCR quantification of target genes. </w:t>
      </w:r>
    </w:p>
    <w:p w14:paraId="5BB60C18" w14:textId="77777777" w:rsidR="00FB30E5" w:rsidRDefault="00FB30E5"/>
    <w:p w14:paraId="20F69C1D" w14:textId="51B93D86" w:rsidR="00FB30E5" w:rsidRDefault="00FB30E5"/>
    <w:p w14:paraId="4A7A1BF0" w14:textId="498EB35C" w:rsidR="00FB30E5" w:rsidRDefault="00FB30E5"/>
    <w:p w14:paraId="02839CDA" w14:textId="0E25152A" w:rsidR="00FB30E5" w:rsidRDefault="00FB30E5"/>
    <w:p w14:paraId="3FA9A80E" w14:textId="6AA0E99D" w:rsidR="00FB30E5" w:rsidRDefault="00FB30E5"/>
    <w:p w14:paraId="3A2F25A5" w14:textId="3DC3FD37" w:rsidR="00FB30E5" w:rsidRDefault="00FB30E5"/>
    <w:p w14:paraId="22D5EB64" w14:textId="03B42EF4" w:rsidR="00FB30E5" w:rsidRDefault="00FB30E5"/>
    <w:p w14:paraId="3279EF07" w14:textId="0AD3B5B7" w:rsidR="00FB30E5" w:rsidRDefault="00FB30E5"/>
    <w:p w14:paraId="76EEDC9B" w14:textId="4492302D" w:rsidR="00FB30E5" w:rsidRDefault="00FB30E5"/>
    <w:p w14:paraId="374F1094" w14:textId="6F3BDC9F" w:rsidR="00FB30E5" w:rsidRDefault="00FB30E5"/>
    <w:p w14:paraId="668BBE50" w14:textId="1A10FB53" w:rsidR="00FB30E5" w:rsidRDefault="00FB30E5"/>
    <w:p w14:paraId="18866716" w14:textId="772D78DA" w:rsidR="00FB30E5" w:rsidRDefault="00FB30E5"/>
    <w:p w14:paraId="26823670" w14:textId="6C6F283F" w:rsidR="00FB30E5" w:rsidRDefault="00FB30E5"/>
    <w:p w14:paraId="7F67F69D" w14:textId="526CDD72" w:rsidR="00FB30E5" w:rsidRDefault="00FB30E5"/>
    <w:p w14:paraId="3578345C" w14:textId="5F7D6E02" w:rsidR="00FB30E5" w:rsidRDefault="00FB30E5"/>
    <w:p w14:paraId="69F23298" w14:textId="0B8BD254" w:rsidR="00FB30E5" w:rsidRDefault="00FB30E5"/>
    <w:p w14:paraId="0E10A394" w14:textId="2F602E0C" w:rsidR="00FB30E5" w:rsidRDefault="00FB30E5"/>
    <w:p w14:paraId="17D34E90" w14:textId="2079B9BD" w:rsidR="00FB30E5" w:rsidRDefault="00FB30E5"/>
    <w:p w14:paraId="78D74FD0" w14:textId="771DDBB1" w:rsidR="00FB30E5" w:rsidRDefault="00FB30E5"/>
    <w:p w14:paraId="4F81FC54" w14:textId="48B9F310" w:rsidR="00FB30E5" w:rsidRDefault="00FB30E5"/>
    <w:p w14:paraId="20AE90C5" w14:textId="63F494E1" w:rsidR="00FB30E5" w:rsidRDefault="00FB30E5"/>
    <w:p w14:paraId="3900683C" w14:textId="5FABA03C" w:rsidR="00FB30E5" w:rsidRDefault="00FB30E5"/>
    <w:p w14:paraId="562F00DA" w14:textId="644089FA" w:rsidR="00FB30E5" w:rsidRDefault="00FB30E5"/>
    <w:p w14:paraId="1AFA3369" w14:textId="0B92F2BA" w:rsidR="00FB30E5" w:rsidRDefault="00FB30E5"/>
    <w:p w14:paraId="1F768A29" w14:textId="219F1067" w:rsidR="00FB30E5" w:rsidRDefault="00FB30E5"/>
    <w:p w14:paraId="4C5F76F6" w14:textId="77777777" w:rsidR="00FB30E5" w:rsidRDefault="00FB30E5"/>
    <w:sectPr w:rsidR="00FB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79F"/>
    <w:rsid w:val="000877E4"/>
    <w:rsid w:val="00131DB9"/>
    <w:rsid w:val="00276C43"/>
    <w:rsid w:val="00406B11"/>
    <w:rsid w:val="00464369"/>
    <w:rsid w:val="004A2B30"/>
    <w:rsid w:val="00544E82"/>
    <w:rsid w:val="006E7873"/>
    <w:rsid w:val="006F3DE7"/>
    <w:rsid w:val="00761C96"/>
    <w:rsid w:val="0078222C"/>
    <w:rsid w:val="008B3B9E"/>
    <w:rsid w:val="008F6E97"/>
    <w:rsid w:val="00A37A5F"/>
    <w:rsid w:val="00A55846"/>
    <w:rsid w:val="00A92E02"/>
    <w:rsid w:val="00C525FD"/>
    <w:rsid w:val="00C97173"/>
    <w:rsid w:val="00D73EF4"/>
    <w:rsid w:val="00DB17A3"/>
    <w:rsid w:val="00DB6A32"/>
    <w:rsid w:val="00E609CC"/>
    <w:rsid w:val="00EC279F"/>
    <w:rsid w:val="00EF2F94"/>
    <w:rsid w:val="00FB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CFD6675"/>
  <w15:chartTrackingRefBased/>
  <w15:docId w15:val="{6A8F0CAF-9FA9-4771-BEC9-A866DF6A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5FD"/>
    <w:pPr>
      <w:spacing w:after="0" w:line="240" w:lineRule="auto"/>
    </w:pPr>
    <w:rPr>
      <w:rFonts w:ascii="Arial" w:eastAsia="MS Mincho" w:hAnsi="Arial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B6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A3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A32"/>
    <w:rPr>
      <w:rFonts w:ascii="Arial" w:eastAsia="MS Mincho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A32"/>
    <w:rPr>
      <w:rFonts w:ascii="Arial" w:eastAsia="MS Mincho" w:hAnsi="Arial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A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A32"/>
    <w:rPr>
      <w:rFonts w:ascii="Segoe UI" w:eastAsia="MS Mincho" w:hAnsi="Segoe UI" w:cs="Segoe UI"/>
      <w:sz w:val="18"/>
      <w:szCs w:val="18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FB30E5"/>
    <w:pPr>
      <w:pBdr>
        <w:top w:val="nil"/>
        <w:left w:val="nil"/>
        <w:bottom w:val="nil"/>
        <w:right w:val="nil"/>
        <w:between w:val="nil"/>
      </w:pBdr>
      <w:jc w:val="both"/>
    </w:pPr>
    <w:rPr>
      <w:rFonts w:eastAsia="Arial" w:cs="Arial"/>
      <w:noProof/>
      <w:color w:val="000000"/>
      <w:sz w:val="22"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B30E5"/>
    <w:rPr>
      <w:rFonts w:ascii="Arial" w:eastAsia="Arial" w:hAnsi="Arial" w:cs="Arial"/>
      <w:noProof/>
      <w:color w:val="000000"/>
    </w:rPr>
  </w:style>
  <w:style w:type="table" w:styleId="TableGrid">
    <w:name w:val="Table Grid"/>
    <w:basedOn w:val="TableNormal"/>
    <w:uiPriority w:val="59"/>
    <w:rsid w:val="00FB30E5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B30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Chandler</dc:creator>
  <cp:keywords/>
  <dc:description/>
  <cp:lastModifiedBy>Leubner, Gerhard</cp:lastModifiedBy>
  <cp:revision>2</cp:revision>
  <cp:lastPrinted>2020-11-23T20:41:00Z</cp:lastPrinted>
  <dcterms:created xsi:type="dcterms:W3CDTF">2020-11-23T20:41:00Z</dcterms:created>
  <dcterms:modified xsi:type="dcterms:W3CDTF">2020-11-23T20:41:00Z</dcterms:modified>
</cp:coreProperties>
</file>